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【信银理财日盈象天天利231号现金管理型理财产品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，产品代码为【AM244179】，类型为公募、固定收益类、开放式产品，产品无固定期限，风险评级为【</w:t>
      </w:r>
      <w:r>
        <w:rPr>
          <w:rFonts w:ascii="楷体_GB2312" w:hAnsi="Arial" w:eastAsia="楷体_GB2312" w:cs="楷体_GB2312"/>
          <w:color w:val="000000" w:themeColor="text1"/>
          <w14:textFill>
            <w14:solidFill>
              <w14:schemeClr w14:val="tx1"/>
            </w14:solidFill>
          </w14:textFill>
        </w:rPr>
        <w:t>PR1</w:t>
      </w:r>
      <w:r>
        <w:rPr>
          <w:rFonts w:hint="eastAsia" w:ascii="楷体_GB2312" w:hAnsi="Arial" w:eastAsia="楷体_GB2312" w:cs="楷体_GB2312"/>
          <w:color w:val="000000" w:themeColor="text1"/>
          <w14:textFill>
            <w14:solidFill>
              <w14:schemeClr w14:val="tx1"/>
            </w14:solidFill>
          </w14:textFill>
        </w:rPr>
        <w:t>】，适合购买客户为风险承受能力为【谨慎型】及以上的客户。</w:t>
      </w:r>
      <w:r>
        <w:rPr>
          <w:rFonts w:hint="eastAsia" w:ascii="楷体_GB2312" w:hAnsi="Arial" w:eastAsia="楷体_GB2312"/>
          <w:color w:val="000000" w:themeColor="text1"/>
          <w14:textFill>
            <w14:solidFill>
              <w14:schemeClr w14:val="tx1"/>
            </w14:solidFill>
          </w14:textFill>
        </w:rPr>
        <w:t>固定收益类产品仅是按照投资性质分类，并非指收益固定或保本。</w:t>
      </w:r>
    </w:p>
    <w:p>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：信银理财作为本理财产品管理人承诺以诚实守信、勤勉尽职的原则管理和运用理财产品资金，但</w:t>
      </w:r>
      <w:r>
        <w:rPr>
          <w:rFonts w:hint="eastAsia" w:ascii="楷体_GB2312" w:hAnsi="Arial" w:eastAsia="楷体_GB2312" w:cs="楷体_GB2312"/>
          <w:b/>
          <w:color w:val="000000" w:themeColor="text1"/>
          <w14:textFill>
            <w14:solidFill>
              <w14:schemeClr w14:val="tx1"/>
            </w14:solidFill>
          </w14:textFill>
        </w:rPr>
        <w:t>不保证本金和收益，您可能因市场变动而损失全部本金且无法取得任何收益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信银理财提醒您理财产品投资风险由买者自负，您应充分认识投资风险，谨慎投资！</w:t>
      </w:r>
      <w:r>
        <w:rPr>
          <w:rFonts w:ascii="楷体_GB2312" w:hAnsi="Arial" w:eastAsia="楷体_GB2312"/>
          <w:color w:val="000000" w:themeColor="text1"/>
          <w14:textFill>
            <w14:solidFill>
              <w14:schemeClr w14:val="tx1"/>
            </w14:solidFill>
          </w14:textFill>
        </w:rPr>
        <w:t> </w:t>
      </w:r>
    </w:p>
    <w:p>
      <w:pPr>
        <w:ind w:firstLine="480" w:firstLineChars="200"/>
        <w:jc w:val="both"/>
        <w:rPr>
          <w:rFonts w:ascii="楷体_GB2312" w:hAnsi="Arial" w:eastAsia="楷体_GB2312"/>
          <w:color w:val="000000" w:themeColor="text1"/>
          <w14:textFill>
            <w14:solidFill>
              <w14:schemeClr w14:val="tx1"/>
            </w14:solidFill>
          </w14:textFill>
        </w:rPr>
      </w:pP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1.00亿元，在最不利情况下，理财本金及收益全部损失。</w:t>
      </w: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pPr>
        <w:ind w:firstLine="482" w:firstLineChars="200"/>
        <w:jc w:val="both"/>
        <w:rPr>
          <w:rFonts w:ascii="黑体" w:hAnsi="黑体" w:eastAsia="黑体"/>
          <w:b/>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如影响您风险承受能力的因素发生变化，请及时告知信银理财或代销机构并重新进行风险承受能力评估。</w:t>
      </w:r>
      <w:r>
        <w:rPr>
          <w:rFonts w:ascii="楷体_GB2312" w:hAnsi="Arial" w:eastAsia="楷体_GB2312" w:cs="楷体_GB2312"/>
          <w:color w:val="000000" w:themeColor="text1"/>
          <w14:textFill>
            <w14:solidFill>
              <w14:schemeClr w14:val="tx1"/>
            </w14:solidFill>
          </w14:textFill>
        </w:rPr>
        <w:t xml:space="preserve"> </w:t>
      </w:r>
    </w:p>
    <w:p>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pPr>
        <w:jc w:val="right"/>
        <w:rPr>
          <w:rFonts w:ascii="楷体_GB2312" w:eastAsia="楷体_GB2312"/>
          <w:color w:val="000000" w:themeColor="text1"/>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snapToGrid w:val="0"/>
        <w:ind w:right="440"/>
        <w:rPr>
          <w:rFonts w:ascii="黑体" w:hAnsi="Times New Roman" w:eastAsia="黑体" w:cs="Arial"/>
          <w:color w:val="000000" w:themeColor="text1"/>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机构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将向本理财产品销售机构真实提供信息，自主作出认（申）购/赎回等决定，独立对销售文件进行签字/盖章确认，自主承担投资风险。本人/本单位拒绝向销售机构提供或者未按照要求提供信息的，销售机构有权告知本人/本单位相应的后果和责任，并有权拒绝向本人/本单位提供销售服务。</w:t>
      </w:r>
    </w:p>
    <w:p>
      <w:pPr>
        <w:pStyle w:val="6"/>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pPr>
        <w:ind w:firstLine="480" w:firstLineChars="200"/>
        <w:jc w:val="both"/>
        <w:rPr>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pPr>
        <w:jc w:val="both"/>
        <w:rPr>
          <w:rFonts w:ascii="楷体_GB2312" w:hAnsi="Arial" w:eastAsia="楷体_GB2312" w:cs="楷体_GB2312"/>
          <w:color w:val="000000" w:themeColor="text1"/>
          <w14:textFill>
            <w14:solidFill>
              <w14:schemeClr w14:val="tx1"/>
            </w14:solidFill>
          </w14:textFill>
        </w:rPr>
      </w:pP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理财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pPr>
        <w:ind w:firstLine="480" w:firstLineChars="200"/>
        <w:jc w:val="both"/>
        <w:rPr>
          <w:rFonts w:ascii="楷体_GB2312" w:eastAsia="楷体_GB2312"/>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本人/本单位风险承受能力评级为（由个人客户本人/机构客户授权经办人填写）：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hint="eastAsia"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机构客户（盖章）：</w:t>
      </w:r>
    </w:p>
    <w:p>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8517D"/>
    <w:rsid w:val="13185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2025-09-22T00:52:00Z</dcterms:created>
  <dc:creator>李响</dc:creator>
  <cp:lastModifiedBy>李响</cp:lastModifiedBy>
  <dcterms:modified xsi:type="dcterms:W3CDTF">2025-09-22T00:52:10Z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AFFB3528B3CE4006A4315755CAC18EF6</vt:lpwstr>
  </property>
</Properties>
</file>